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95AAB" w14:textId="77777777" w:rsidR="00B72824" w:rsidRPr="00DD18D0" w:rsidRDefault="00B72824" w:rsidP="00192D2B">
      <w:pPr>
        <w:rPr>
          <w:rFonts w:ascii="Calibri" w:eastAsiaTheme="minorEastAsia" w:hAnsi="Calibri"/>
          <w:color w:val="FFFFFF"/>
          <w:sz w:val="28"/>
          <w:szCs w:val="28"/>
        </w:rPr>
      </w:pPr>
      <w:r w:rsidRPr="00DD18D0">
        <w:rPr>
          <w:rFonts w:eastAsiaTheme="minorEastAsia" w:cs="Arial"/>
          <w:b/>
          <w:bCs/>
          <w:color w:val="000000"/>
          <w:sz w:val="28"/>
          <w:szCs w:val="28"/>
        </w:rPr>
        <w:t>MOD S7982</w:t>
      </w:r>
      <w:r w:rsidR="00192D2B" w:rsidRPr="00DD18D0">
        <w:rPr>
          <w:rFonts w:eastAsiaTheme="minorEastAsia" w:cs="Arial"/>
          <w:b/>
          <w:bCs/>
          <w:color w:val="000000"/>
          <w:sz w:val="28"/>
          <w:szCs w:val="28"/>
        </w:rPr>
        <w:t xml:space="preserve"> – Further Revision to Previous comment accepted by TAC and Commission</w:t>
      </w:r>
    </w:p>
    <w:tbl>
      <w:tblPr>
        <w:tblW w:w="4250" w:type="pct"/>
        <w:tblCellSpacing w:w="10" w:type="dxa"/>
        <w:tblCellMar>
          <w:left w:w="0" w:type="dxa"/>
          <w:right w:w="0" w:type="dxa"/>
        </w:tblCellMar>
        <w:tblLook w:val="04A0" w:firstRow="1" w:lastRow="0" w:firstColumn="1" w:lastColumn="0" w:noHBand="0" w:noVBand="1"/>
      </w:tblPr>
      <w:tblGrid>
        <w:gridCol w:w="7429"/>
      </w:tblGrid>
      <w:tr w:rsidR="00B72824" w:rsidRPr="00B72824" w14:paraId="0EC3CF1E" w14:textId="77777777" w:rsidTr="00B72824">
        <w:trPr>
          <w:tblCellSpacing w:w="10" w:type="dxa"/>
        </w:trPr>
        <w:tc>
          <w:tcPr>
            <w:tcW w:w="0" w:type="auto"/>
            <w:tcMar>
              <w:top w:w="30" w:type="dxa"/>
              <w:left w:w="30" w:type="dxa"/>
              <w:bottom w:w="30" w:type="dxa"/>
              <w:right w:w="30" w:type="dxa"/>
            </w:tcMar>
            <w:vAlign w:val="center"/>
            <w:hideMark/>
          </w:tcPr>
          <w:tbl>
            <w:tblPr>
              <w:tblW w:w="4950" w:type="pct"/>
              <w:tblCellSpacing w:w="10" w:type="dxa"/>
              <w:tblCellMar>
                <w:left w:w="0" w:type="dxa"/>
                <w:right w:w="0" w:type="dxa"/>
              </w:tblCellMar>
              <w:tblLook w:val="04A0" w:firstRow="1" w:lastRow="0" w:firstColumn="1" w:lastColumn="0" w:noHBand="0" w:noVBand="1"/>
            </w:tblPr>
            <w:tblGrid>
              <w:gridCol w:w="7256"/>
            </w:tblGrid>
            <w:tr w:rsidR="00B72824" w:rsidRPr="00B72824" w14:paraId="637B3D7C" w14:textId="77777777">
              <w:trPr>
                <w:tblCellSpacing w:w="10" w:type="dxa"/>
              </w:trPr>
              <w:tc>
                <w:tcPr>
                  <w:tcW w:w="9422" w:type="dxa"/>
                  <w:tcMar>
                    <w:top w:w="30" w:type="dxa"/>
                    <w:left w:w="30" w:type="dxa"/>
                    <w:bottom w:w="30" w:type="dxa"/>
                    <w:right w:w="30" w:type="dxa"/>
                  </w:tcMar>
                  <w:vAlign w:val="center"/>
                  <w:hideMark/>
                </w:tcPr>
                <w:p w14:paraId="6B88358C" w14:textId="77777777" w:rsidR="00B72824" w:rsidRPr="00B72824" w:rsidRDefault="00B72824" w:rsidP="00B72824">
                  <w:pPr>
                    <w:rPr>
                      <w:rFonts w:ascii="Times New Roman" w:eastAsia="Times New Roman" w:hAnsi="Times New Roman"/>
                      <w:sz w:val="20"/>
                    </w:rPr>
                  </w:pPr>
                  <w:bookmarkStart w:id="0" w:name="_Hlk11139076"/>
                  <w:bookmarkEnd w:id="0"/>
                </w:p>
              </w:tc>
            </w:tr>
          </w:tbl>
          <w:p w14:paraId="09F2A12E" w14:textId="77777777" w:rsidR="00B72824" w:rsidRPr="00B72824" w:rsidRDefault="00B72824" w:rsidP="00B72824">
            <w:pPr>
              <w:rPr>
                <w:rFonts w:ascii="Calibri" w:eastAsiaTheme="minorEastAsia" w:hAnsi="Calibri"/>
                <w:szCs w:val="22"/>
              </w:rPr>
            </w:pPr>
            <w:r w:rsidRPr="00B72824">
              <w:rPr>
                <w:rFonts w:eastAsiaTheme="minorEastAsia" w:cs="Arial"/>
                <w:b/>
                <w:bCs/>
                <w:sz w:val="24"/>
                <w:szCs w:val="24"/>
              </w:rPr>
              <w:t> </w:t>
            </w:r>
          </w:p>
          <w:p w14:paraId="3C1E211A" w14:textId="77777777" w:rsidR="00B72824" w:rsidRPr="00B72824" w:rsidRDefault="00B72824" w:rsidP="00B72824">
            <w:pPr>
              <w:rPr>
                <w:rFonts w:ascii="Calibri" w:eastAsiaTheme="minorEastAsia" w:hAnsi="Calibri"/>
                <w:szCs w:val="22"/>
              </w:rPr>
            </w:pPr>
            <w:r w:rsidRPr="00B72824">
              <w:rPr>
                <w:rFonts w:eastAsiaTheme="minorEastAsia" w:cs="Arial"/>
                <w:b/>
                <w:bCs/>
                <w:sz w:val="24"/>
                <w:szCs w:val="24"/>
              </w:rPr>
              <w:t>1626.1</w:t>
            </w:r>
          </w:p>
          <w:p w14:paraId="6AE8AF8B" w14:textId="77777777" w:rsidR="00B72824" w:rsidRPr="00B72824" w:rsidRDefault="00B72824" w:rsidP="00B72824">
            <w:pPr>
              <w:rPr>
                <w:rFonts w:ascii="Calibri" w:eastAsiaTheme="minorEastAsia" w:hAnsi="Calibri"/>
                <w:szCs w:val="22"/>
              </w:rPr>
            </w:pPr>
            <w:r w:rsidRPr="00B72824">
              <w:rPr>
                <w:rFonts w:eastAsiaTheme="minorEastAsia" w:cs="Arial"/>
                <w:b/>
                <w:bCs/>
                <w:sz w:val="24"/>
                <w:szCs w:val="24"/>
              </w:rPr>
              <w:t> </w:t>
            </w:r>
          </w:p>
          <w:p w14:paraId="7BA3642C" w14:textId="77777777" w:rsidR="00B72824" w:rsidRPr="00B72824" w:rsidRDefault="00B72824" w:rsidP="00B72824">
            <w:pPr>
              <w:rPr>
                <w:rFonts w:ascii="Calibri" w:eastAsiaTheme="minorEastAsia" w:hAnsi="Calibri"/>
                <w:szCs w:val="22"/>
              </w:rPr>
            </w:pPr>
            <w:r w:rsidRPr="00B72824">
              <w:rPr>
                <w:rFonts w:eastAsiaTheme="minorEastAsia" w:cs="Arial"/>
                <w:sz w:val="24"/>
                <w:szCs w:val="24"/>
              </w:rPr>
              <w:t>All parts or systems of a building or structure envelope such as, but not limited, to exterior walls, roof, outside doors, skylights, glazing and glass block shall meet impact test criteria or be protected with an external protection device that meets the impact test criteria. Test procedures to determine resistance to wind-borne debris of wall cladding, outside doors, skylights, glazing, glass block, shutters and any other external protection devices shall be performed in accordance with this section.</w:t>
            </w:r>
          </w:p>
          <w:p w14:paraId="4646F5C7" w14:textId="77777777" w:rsidR="00B72824" w:rsidRPr="00B72824" w:rsidRDefault="00B72824" w:rsidP="00B72824">
            <w:pPr>
              <w:rPr>
                <w:rFonts w:ascii="Calibri" w:eastAsiaTheme="minorEastAsia" w:hAnsi="Calibri"/>
                <w:szCs w:val="22"/>
              </w:rPr>
            </w:pPr>
            <w:r w:rsidRPr="00B72824">
              <w:rPr>
                <w:rFonts w:eastAsiaTheme="minorEastAsia" w:cs="Arial"/>
                <w:sz w:val="24"/>
                <w:szCs w:val="24"/>
              </w:rPr>
              <w:t> </w:t>
            </w:r>
          </w:p>
          <w:p w14:paraId="2B4FAEA2" w14:textId="77777777" w:rsidR="00B72824" w:rsidRPr="00B72824" w:rsidRDefault="00B72824" w:rsidP="00B72824">
            <w:pPr>
              <w:rPr>
                <w:rFonts w:ascii="Calibri" w:eastAsiaTheme="minorEastAsia" w:hAnsi="Calibri"/>
                <w:szCs w:val="22"/>
              </w:rPr>
            </w:pPr>
            <w:r w:rsidRPr="00B72824">
              <w:rPr>
                <w:rFonts w:eastAsiaTheme="minorEastAsia" w:cs="Arial"/>
                <w:sz w:val="24"/>
                <w:szCs w:val="24"/>
              </w:rPr>
              <w:t>Exception: The following structures or portion of structures shall not be required to meet the provisions of this section:</w:t>
            </w:r>
          </w:p>
          <w:p w14:paraId="2AEB4070" w14:textId="77777777" w:rsidR="00B72824" w:rsidRPr="00B72824" w:rsidRDefault="00B72824" w:rsidP="00B72824">
            <w:pPr>
              <w:rPr>
                <w:rFonts w:ascii="Calibri" w:eastAsiaTheme="minorEastAsia" w:hAnsi="Calibri"/>
                <w:szCs w:val="22"/>
              </w:rPr>
            </w:pPr>
            <w:r w:rsidRPr="00B72824">
              <w:rPr>
                <w:rFonts w:eastAsiaTheme="minorEastAsia" w:cs="Arial"/>
                <w:sz w:val="24"/>
                <w:szCs w:val="24"/>
              </w:rPr>
              <w:t> </w:t>
            </w:r>
          </w:p>
          <w:p w14:paraId="1E13DC63" w14:textId="77777777" w:rsidR="00B72824" w:rsidRPr="00B72824" w:rsidRDefault="00B72824" w:rsidP="00B72824">
            <w:pPr>
              <w:numPr>
                <w:ilvl w:val="0"/>
                <w:numId w:val="1"/>
              </w:numPr>
              <w:rPr>
                <w:rFonts w:ascii="Calibri" w:eastAsia="Times New Roman" w:hAnsi="Calibri" w:cs="Arial"/>
                <w:szCs w:val="22"/>
              </w:rPr>
            </w:pPr>
            <w:r w:rsidRPr="00B72824">
              <w:rPr>
                <w:rFonts w:eastAsia="Times New Roman" w:cs="Arial"/>
                <w:sz w:val="24"/>
                <w:szCs w:val="24"/>
              </w:rPr>
              <w:t>Roof assemblies for screen rooms, porches, canopies, etc., attached to a building that do not breach the exterior wall or building envelope and have no enclosed sides other than screen.</w:t>
            </w:r>
          </w:p>
          <w:p w14:paraId="7AFA7151" w14:textId="77777777" w:rsidR="00B72824" w:rsidRPr="00B72824" w:rsidRDefault="00B72824" w:rsidP="00B72824">
            <w:pPr>
              <w:numPr>
                <w:ilvl w:val="0"/>
                <w:numId w:val="1"/>
              </w:numPr>
              <w:rPr>
                <w:rFonts w:ascii="Calibri" w:eastAsia="Times New Roman" w:hAnsi="Calibri" w:cs="Arial"/>
                <w:szCs w:val="22"/>
              </w:rPr>
            </w:pPr>
            <w:r w:rsidRPr="00B72824">
              <w:rPr>
                <w:rFonts w:eastAsia="Times New Roman" w:cs="Arial"/>
                <w:sz w:val="24"/>
                <w:szCs w:val="24"/>
              </w:rPr>
              <w:t>Soffits, soffit vents and ridge vents. Size and location of such vents shall be detailed by the designer and shall not compromise the integrity of the diaphragm boundary.</w:t>
            </w:r>
          </w:p>
          <w:p w14:paraId="74DA28D5" w14:textId="77777777" w:rsidR="00B72824" w:rsidRPr="00B72824" w:rsidRDefault="00B72824" w:rsidP="00B72824">
            <w:pPr>
              <w:numPr>
                <w:ilvl w:val="0"/>
                <w:numId w:val="1"/>
              </w:numPr>
              <w:rPr>
                <w:rFonts w:ascii="Calibri" w:eastAsia="Times New Roman" w:hAnsi="Calibri" w:cs="Arial"/>
                <w:szCs w:val="22"/>
              </w:rPr>
            </w:pPr>
            <w:r w:rsidRPr="00B72824">
              <w:rPr>
                <w:rFonts w:eastAsia="Times New Roman" w:cs="Arial"/>
                <w:sz w:val="24"/>
                <w:szCs w:val="24"/>
              </w:rPr>
              <w:t>Vents in a garage with four or fewer cars. Size and location of such vents shall be detailed by the designer and shall not exceed the minimum required area by more than 25 percent.</w:t>
            </w:r>
          </w:p>
          <w:p w14:paraId="705D6FAF" w14:textId="77777777" w:rsidR="00B72824" w:rsidRPr="00B72824" w:rsidRDefault="00B72824" w:rsidP="00B72824">
            <w:pPr>
              <w:numPr>
                <w:ilvl w:val="0"/>
                <w:numId w:val="1"/>
              </w:numPr>
              <w:rPr>
                <w:rFonts w:ascii="Calibri" w:eastAsia="Times New Roman" w:hAnsi="Calibri" w:cs="Arial"/>
                <w:szCs w:val="22"/>
              </w:rPr>
            </w:pPr>
            <w:r w:rsidRPr="00B72824">
              <w:rPr>
                <w:rFonts w:eastAsia="Times New Roman" w:cs="Arial"/>
                <w:sz w:val="24"/>
                <w:szCs w:val="24"/>
              </w:rPr>
              <w:t>Exterior wall or roof openings for wall- or roof-mounted HVAC equipment.</w:t>
            </w:r>
          </w:p>
          <w:p w14:paraId="4B92739A" w14:textId="77777777" w:rsidR="00B72824" w:rsidRPr="00B72824" w:rsidRDefault="00B72824" w:rsidP="00B72824">
            <w:pPr>
              <w:numPr>
                <w:ilvl w:val="0"/>
                <w:numId w:val="1"/>
              </w:numPr>
              <w:rPr>
                <w:rFonts w:ascii="Calibri" w:eastAsia="Times New Roman" w:hAnsi="Calibri" w:cs="Arial"/>
                <w:szCs w:val="22"/>
              </w:rPr>
            </w:pPr>
            <w:r w:rsidRPr="00B72824">
              <w:rPr>
                <w:rFonts w:eastAsia="Times New Roman" w:cs="Arial"/>
                <w:sz w:val="24"/>
                <w:szCs w:val="24"/>
              </w:rPr>
              <w:t>Openings for roof-mounted personnel access roof hatches.</w:t>
            </w:r>
          </w:p>
          <w:p w14:paraId="4C69AB7E" w14:textId="77777777" w:rsidR="00B72824" w:rsidRPr="00B72824" w:rsidRDefault="00B72824" w:rsidP="00B72824">
            <w:pPr>
              <w:numPr>
                <w:ilvl w:val="0"/>
                <w:numId w:val="1"/>
              </w:numPr>
              <w:rPr>
                <w:rFonts w:ascii="Calibri" w:eastAsia="Times New Roman" w:hAnsi="Calibri" w:cs="Arial"/>
                <w:szCs w:val="22"/>
              </w:rPr>
            </w:pPr>
            <w:r w:rsidRPr="00B72824">
              <w:rPr>
                <w:rFonts w:eastAsia="Times New Roman" w:cs="Arial"/>
                <w:sz w:val="24"/>
                <w:szCs w:val="24"/>
              </w:rPr>
              <w:t>Storage sheds that are not designed for human habitation and that have a floor area of 720 square feet (67 m2) or less are not required to comply with the mandatory windborne debris impact standards of this code.</w:t>
            </w:r>
          </w:p>
          <w:p w14:paraId="0CE4E4BB" w14:textId="77777777" w:rsidR="00B72824" w:rsidRPr="00B72824" w:rsidRDefault="00B72824" w:rsidP="00B72824">
            <w:pPr>
              <w:numPr>
                <w:ilvl w:val="0"/>
                <w:numId w:val="1"/>
              </w:numPr>
              <w:rPr>
                <w:rFonts w:ascii="Calibri" w:eastAsia="Times New Roman" w:hAnsi="Calibri" w:cs="Arial"/>
                <w:color w:val="FF0000"/>
                <w:szCs w:val="22"/>
              </w:rPr>
            </w:pPr>
            <w:r w:rsidRPr="00B72824">
              <w:rPr>
                <w:rFonts w:eastAsia="Times New Roman" w:cs="Arial"/>
                <w:sz w:val="24"/>
                <w:szCs w:val="24"/>
              </w:rPr>
              <w:t>Louvers as long as they properly considered ASCE 7 in the design of the building</w:t>
            </w:r>
            <w:r w:rsidRPr="00B72824">
              <w:rPr>
                <w:rFonts w:eastAsia="Times New Roman" w:cs="Arial"/>
                <w:strike/>
                <w:color w:val="FF0000"/>
                <w:sz w:val="24"/>
                <w:szCs w:val="24"/>
                <w:shd w:val="clear" w:color="auto" w:fill="FFFF00"/>
              </w:rPr>
              <w:t>.</w:t>
            </w:r>
            <w:r w:rsidRPr="00452E4A">
              <w:rPr>
                <w:rFonts w:eastAsia="Times New Roman" w:cs="Arial"/>
                <w:color w:val="FF0000"/>
                <w:sz w:val="24"/>
                <w:szCs w:val="24"/>
                <w:shd w:val="clear" w:color="auto" w:fill="FFFF00"/>
              </w:rPr>
              <w:t xml:space="preserve"> </w:t>
            </w:r>
            <w:r w:rsidR="00452E4A" w:rsidRPr="00452E4A">
              <w:rPr>
                <w:rFonts w:eastAsia="Times New Roman" w:cs="Arial"/>
                <w:color w:val="FF0000"/>
                <w:sz w:val="24"/>
                <w:szCs w:val="24"/>
                <w:shd w:val="clear" w:color="auto" w:fill="FFFF00"/>
              </w:rPr>
              <w:t xml:space="preserve"> </w:t>
            </w:r>
            <w:r w:rsidRPr="00DD18D0">
              <w:rPr>
                <w:rFonts w:eastAsia="Times New Roman" w:cs="Arial"/>
                <w:bCs/>
                <w:sz w:val="24"/>
                <w:szCs w:val="24"/>
                <w:u w:val="single"/>
              </w:rPr>
              <w:t xml:space="preserve">and that </w:t>
            </w:r>
            <w:r w:rsidR="00452E4A">
              <w:rPr>
                <w:rFonts w:eastAsia="Times New Roman" w:cs="Arial"/>
                <w:bCs/>
                <w:sz w:val="24"/>
                <w:szCs w:val="24"/>
                <w:u w:val="single"/>
              </w:rPr>
              <w:t>meets the requirement of 1626.5</w:t>
            </w:r>
            <w:r w:rsidRPr="00DD18D0">
              <w:rPr>
                <w:rFonts w:eastAsia="Times New Roman" w:cs="Arial"/>
                <w:bCs/>
                <w:sz w:val="24"/>
                <w:szCs w:val="24"/>
                <w:u w:val="single"/>
              </w:rPr>
              <w:t>.3</w:t>
            </w:r>
            <w:r w:rsidRPr="00DD18D0">
              <w:rPr>
                <w:rFonts w:eastAsia="Times New Roman" w:cs="Arial"/>
                <w:bCs/>
                <w:color w:val="FF0000"/>
                <w:sz w:val="24"/>
                <w:szCs w:val="24"/>
                <w:highlight w:val="yellow"/>
                <w:u w:val="single"/>
              </w:rPr>
              <w:t>.</w:t>
            </w:r>
          </w:p>
          <w:p w14:paraId="44279940" w14:textId="77777777" w:rsidR="00B72824" w:rsidRPr="00B72824" w:rsidRDefault="00B72824" w:rsidP="00B72824">
            <w:pPr>
              <w:rPr>
                <w:rFonts w:ascii="Calibri" w:eastAsiaTheme="minorEastAsia" w:hAnsi="Calibri"/>
                <w:szCs w:val="22"/>
              </w:rPr>
            </w:pPr>
            <w:r w:rsidRPr="00B72824">
              <w:rPr>
                <w:rFonts w:eastAsiaTheme="minorEastAsia" w:cs="Arial"/>
                <w:b/>
                <w:bCs/>
                <w:sz w:val="24"/>
                <w:szCs w:val="24"/>
              </w:rPr>
              <w:t> </w:t>
            </w:r>
          </w:p>
          <w:p w14:paraId="3E2EF262" w14:textId="77777777" w:rsidR="00B72824" w:rsidRPr="00B72824" w:rsidRDefault="00B72824" w:rsidP="00B72824">
            <w:pPr>
              <w:numPr>
                <w:ilvl w:val="0"/>
                <w:numId w:val="2"/>
              </w:numPr>
              <w:rPr>
                <w:rFonts w:ascii="Calibri" w:eastAsia="Times New Roman" w:hAnsi="Calibri" w:cs="Arial"/>
                <w:szCs w:val="22"/>
              </w:rPr>
            </w:pPr>
            <w:r w:rsidRPr="00B72824">
              <w:rPr>
                <w:rFonts w:eastAsia="Times New Roman" w:cs="Arial"/>
                <w:sz w:val="24"/>
                <w:szCs w:val="24"/>
              </w:rPr>
              <w:t>Buildings and structures for marinas, cabanas, swimming pools, and greenhouses.</w:t>
            </w:r>
          </w:p>
          <w:p w14:paraId="2A15740B" w14:textId="77777777" w:rsidR="00B72824" w:rsidRPr="00B72824" w:rsidRDefault="00B72824" w:rsidP="00B72824">
            <w:pPr>
              <w:rPr>
                <w:rFonts w:ascii="Calibri" w:eastAsiaTheme="minorEastAsia" w:hAnsi="Calibri"/>
                <w:szCs w:val="22"/>
              </w:rPr>
            </w:pPr>
            <w:r w:rsidRPr="00B72824">
              <w:rPr>
                <w:rFonts w:eastAsiaTheme="minorEastAsia" w:cs="Arial"/>
                <w:sz w:val="24"/>
                <w:szCs w:val="24"/>
              </w:rPr>
              <w:t> </w:t>
            </w:r>
          </w:p>
          <w:p w14:paraId="141186B1" w14:textId="77777777" w:rsidR="00B72824" w:rsidRPr="00B72824" w:rsidRDefault="00B72824" w:rsidP="00B72824">
            <w:pPr>
              <w:numPr>
                <w:ilvl w:val="0"/>
                <w:numId w:val="3"/>
              </w:numPr>
              <w:rPr>
                <w:rFonts w:ascii="Calibri" w:eastAsia="Times New Roman" w:hAnsi="Calibri" w:cs="Arial"/>
                <w:szCs w:val="22"/>
              </w:rPr>
            </w:pPr>
            <w:r w:rsidRPr="00B72824">
              <w:rPr>
                <w:rFonts w:eastAsia="Times New Roman" w:cs="Arial"/>
                <w:sz w:val="24"/>
                <w:szCs w:val="24"/>
              </w:rPr>
              <w:t>Exterior balconies or porches under existing roofs or decks enclosed with screen or removable vinyl and acrylic panels complying with Section 1622.1 or 1622.2 shall not be required to be protected and openings in the wall separating the unit from the balcony or porch shall not be required to be protected unless required by other provisions of this code</w:t>
            </w:r>
          </w:p>
          <w:p w14:paraId="7F68ECB8" w14:textId="77777777" w:rsidR="00B72824" w:rsidRPr="00B72824" w:rsidRDefault="00B72824" w:rsidP="00B72824">
            <w:pPr>
              <w:rPr>
                <w:rFonts w:ascii="Calibri" w:eastAsiaTheme="minorEastAsia" w:hAnsi="Calibri"/>
                <w:szCs w:val="22"/>
              </w:rPr>
            </w:pPr>
            <w:r w:rsidRPr="00B72824">
              <w:rPr>
                <w:rFonts w:eastAsiaTheme="minorEastAsia" w:cs="Arial"/>
                <w:b/>
                <w:bCs/>
                <w:color w:val="000000"/>
                <w:sz w:val="24"/>
                <w:szCs w:val="24"/>
              </w:rPr>
              <w:t> </w:t>
            </w:r>
          </w:p>
          <w:p w14:paraId="774E466D" w14:textId="77777777" w:rsidR="00B72824" w:rsidRPr="00B72824" w:rsidRDefault="00B72824" w:rsidP="00B72824">
            <w:pPr>
              <w:rPr>
                <w:rFonts w:ascii="Calibri" w:eastAsiaTheme="minorEastAsia" w:hAnsi="Calibri"/>
                <w:szCs w:val="22"/>
              </w:rPr>
            </w:pPr>
            <w:r w:rsidRPr="00B72824">
              <w:rPr>
                <w:rFonts w:eastAsiaTheme="minorEastAsia" w:cs="Arial"/>
                <w:b/>
                <w:bCs/>
                <w:color w:val="000000"/>
                <w:sz w:val="24"/>
                <w:szCs w:val="24"/>
              </w:rPr>
              <w:lastRenderedPageBreak/>
              <w:t> </w:t>
            </w:r>
          </w:p>
          <w:p w14:paraId="10F0BFE8" w14:textId="77777777" w:rsidR="00B72824" w:rsidRDefault="00B72824" w:rsidP="00B72824">
            <w:pPr>
              <w:rPr>
                <w:rFonts w:eastAsiaTheme="minorEastAsia" w:cs="Arial"/>
                <w:b/>
                <w:bCs/>
                <w:color w:val="000000"/>
                <w:sz w:val="24"/>
                <w:szCs w:val="24"/>
                <w:u w:val="single"/>
              </w:rPr>
            </w:pPr>
            <w:r w:rsidRPr="00B72824">
              <w:rPr>
                <w:rFonts w:eastAsiaTheme="minorEastAsia" w:cs="Arial"/>
                <w:b/>
                <w:bCs/>
                <w:color w:val="000000"/>
                <w:sz w:val="24"/>
                <w:szCs w:val="24"/>
                <w:u w:val="single"/>
              </w:rPr>
              <w:t>1626.5 Louvers.</w:t>
            </w:r>
            <w:bookmarkStart w:id="1" w:name="_GoBack"/>
            <w:bookmarkEnd w:id="1"/>
          </w:p>
          <w:p w14:paraId="7EFEE7F1" w14:textId="77777777" w:rsidR="00192D2B" w:rsidRPr="00B72824" w:rsidRDefault="00192D2B" w:rsidP="00B72824">
            <w:pPr>
              <w:rPr>
                <w:rFonts w:ascii="Calibri" w:eastAsiaTheme="minorEastAsia" w:hAnsi="Calibri"/>
                <w:szCs w:val="22"/>
              </w:rPr>
            </w:pPr>
          </w:p>
          <w:p w14:paraId="1414FF64" w14:textId="77777777" w:rsidR="00B72824" w:rsidRPr="00192D2B" w:rsidRDefault="00B72824" w:rsidP="00B72824">
            <w:pPr>
              <w:jc w:val="both"/>
              <w:rPr>
                <w:rFonts w:ascii="Calibri" w:eastAsiaTheme="minorEastAsia" w:hAnsi="Calibri"/>
                <w:szCs w:val="22"/>
              </w:rPr>
            </w:pPr>
            <w:r w:rsidRPr="00192D2B">
              <w:rPr>
                <w:rFonts w:eastAsiaTheme="minorEastAsia" w:cs="Arial"/>
                <w:b/>
                <w:bCs/>
                <w:sz w:val="24"/>
                <w:szCs w:val="24"/>
              </w:rPr>
              <w:t>1626.5.1</w:t>
            </w:r>
            <w:r w:rsidRPr="00192D2B">
              <w:rPr>
                <w:rFonts w:eastAsiaTheme="minorEastAsia" w:cs="Arial"/>
                <w:sz w:val="24"/>
                <w:szCs w:val="24"/>
              </w:rPr>
              <w:t> </w:t>
            </w:r>
            <w:r w:rsidRPr="00192D2B">
              <w:rPr>
                <w:rFonts w:eastAsiaTheme="minorEastAsia" w:cs="Arial"/>
                <w:color w:val="000000"/>
                <w:sz w:val="24"/>
                <w:szCs w:val="24"/>
              </w:rPr>
              <w:t xml:space="preserve">Louvers </w:t>
            </w:r>
            <w:r w:rsidRPr="00192D2B">
              <w:rPr>
                <w:rFonts w:eastAsiaTheme="minorEastAsia" w:cs="Arial"/>
                <w:strike/>
                <w:color w:val="FF0000"/>
                <w:sz w:val="24"/>
                <w:szCs w:val="24"/>
              </w:rPr>
              <w:t xml:space="preserve">protecting intake and exhaust ventilation ducts not assumed to be open </w:t>
            </w:r>
            <w:r w:rsidRPr="00FD5590">
              <w:rPr>
                <w:rFonts w:eastAsiaTheme="minorEastAsia" w:cs="Arial"/>
                <w:sz w:val="24"/>
                <w:szCs w:val="24"/>
              </w:rPr>
              <w:t xml:space="preserve">that are </w:t>
            </w:r>
            <w:r w:rsidRPr="00192D2B">
              <w:rPr>
                <w:rFonts w:eastAsiaTheme="minorEastAsia" w:cs="Arial"/>
                <w:sz w:val="24"/>
                <w:szCs w:val="24"/>
              </w:rPr>
              <w:t xml:space="preserve">located </w:t>
            </w:r>
            <w:r w:rsidR="00192D2B" w:rsidRPr="00DD18D0">
              <w:rPr>
                <w:rFonts w:eastAsiaTheme="minorEastAsia" w:cs="Arial"/>
                <w:color w:val="FF0000"/>
                <w:sz w:val="24"/>
                <w:szCs w:val="24"/>
                <w:u w:val="single"/>
              </w:rPr>
              <w:t xml:space="preserve">on the building envelope and are </w:t>
            </w:r>
            <w:r w:rsidRPr="00192D2B">
              <w:rPr>
                <w:rFonts w:eastAsiaTheme="minorEastAsia" w:cs="Arial"/>
                <w:sz w:val="24"/>
                <w:szCs w:val="24"/>
              </w:rPr>
              <w:t>within</w:t>
            </w:r>
            <w:r w:rsidRPr="00192D2B">
              <w:rPr>
                <w:rFonts w:eastAsiaTheme="minorEastAsia" w:cs="Arial"/>
                <w:color w:val="000000"/>
                <w:sz w:val="24"/>
                <w:szCs w:val="24"/>
              </w:rPr>
              <w:t xml:space="preserve"> 30 feet (9144 mm) of grade shall meet the requirements of AMCA 540 or </w:t>
            </w:r>
            <w:r w:rsidRPr="00DD18D0">
              <w:rPr>
                <w:rFonts w:eastAsiaTheme="minorEastAsia" w:cs="Arial"/>
                <w:bCs/>
                <w:sz w:val="24"/>
                <w:szCs w:val="24"/>
              </w:rPr>
              <w:t>TAS 201</w:t>
            </w:r>
            <w:r w:rsidR="00DD18D0">
              <w:rPr>
                <w:rFonts w:eastAsiaTheme="minorEastAsia" w:cs="Arial"/>
                <w:bCs/>
                <w:sz w:val="24"/>
                <w:szCs w:val="24"/>
              </w:rPr>
              <w:t xml:space="preserve"> </w:t>
            </w:r>
            <w:r w:rsidR="00DD18D0" w:rsidRPr="00452E4A">
              <w:rPr>
                <w:rFonts w:eastAsiaTheme="minorEastAsia" w:cs="Arial"/>
                <w:bCs/>
                <w:color w:val="FF0000"/>
                <w:sz w:val="24"/>
                <w:szCs w:val="24"/>
                <w:u w:val="single"/>
              </w:rPr>
              <w:t>(large missile test)</w:t>
            </w:r>
            <w:r w:rsidRPr="00DD18D0">
              <w:rPr>
                <w:rFonts w:eastAsiaTheme="minorEastAsia" w:cs="Arial"/>
                <w:bCs/>
                <w:sz w:val="24"/>
                <w:szCs w:val="24"/>
              </w:rPr>
              <w:t xml:space="preserve"> or</w:t>
            </w:r>
            <w:r w:rsidRPr="00DD18D0">
              <w:rPr>
                <w:rFonts w:eastAsiaTheme="minorEastAsia" w:cs="Arial"/>
                <w:sz w:val="24"/>
                <w:szCs w:val="24"/>
              </w:rPr>
              <w:t> </w:t>
            </w:r>
            <w:r w:rsidRPr="00192D2B">
              <w:rPr>
                <w:rFonts w:eastAsiaTheme="minorEastAsia" w:cs="Arial"/>
                <w:color w:val="000000"/>
                <w:sz w:val="24"/>
                <w:szCs w:val="24"/>
              </w:rPr>
              <w:t xml:space="preserve">shall be protected by an impact-resistant cover complying with </w:t>
            </w:r>
            <w:r w:rsidRPr="00DD18D0">
              <w:rPr>
                <w:rFonts w:eastAsiaTheme="minorEastAsia" w:cs="Arial"/>
                <w:strike/>
                <w:color w:val="FF0000"/>
                <w:sz w:val="24"/>
                <w:szCs w:val="24"/>
              </w:rPr>
              <w:t>the large missile test of </w:t>
            </w:r>
            <w:r w:rsidRPr="00192D2B">
              <w:rPr>
                <w:rFonts w:eastAsiaTheme="minorEastAsia" w:cs="Arial"/>
                <w:color w:val="000000"/>
                <w:sz w:val="24"/>
                <w:szCs w:val="24"/>
              </w:rPr>
              <w:t>TAS 201</w:t>
            </w:r>
            <w:r w:rsidR="00DD18D0">
              <w:rPr>
                <w:rFonts w:eastAsiaTheme="minorEastAsia" w:cs="Arial"/>
                <w:color w:val="000000"/>
                <w:sz w:val="24"/>
                <w:szCs w:val="24"/>
              </w:rPr>
              <w:t xml:space="preserve"> </w:t>
            </w:r>
            <w:r w:rsidR="00DD18D0" w:rsidRPr="00DD18D0">
              <w:rPr>
                <w:rFonts w:eastAsiaTheme="minorEastAsia" w:cs="Arial"/>
                <w:color w:val="FF0000"/>
                <w:sz w:val="24"/>
                <w:szCs w:val="24"/>
                <w:u w:val="single"/>
              </w:rPr>
              <w:t>(large missile test)</w:t>
            </w:r>
            <w:r w:rsidRPr="00DD18D0">
              <w:rPr>
                <w:rFonts w:eastAsiaTheme="minorEastAsia" w:cs="Arial"/>
                <w:color w:val="FF0000"/>
                <w:sz w:val="24"/>
                <w:szCs w:val="24"/>
              </w:rPr>
              <w:t>,</w:t>
            </w:r>
            <w:r w:rsidRPr="00192D2B">
              <w:rPr>
                <w:rFonts w:eastAsiaTheme="minorEastAsia" w:cs="Arial"/>
                <w:color w:val="000000"/>
                <w:sz w:val="24"/>
                <w:szCs w:val="24"/>
              </w:rPr>
              <w:t xml:space="preserve"> TAS 202, TAS 203.</w:t>
            </w:r>
          </w:p>
          <w:p w14:paraId="0496561B" w14:textId="77777777" w:rsidR="00B72824" w:rsidRPr="00B72824" w:rsidRDefault="00B72824" w:rsidP="00B72824">
            <w:pPr>
              <w:jc w:val="both"/>
              <w:rPr>
                <w:rFonts w:ascii="Calibri" w:eastAsiaTheme="minorEastAsia" w:hAnsi="Calibri"/>
                <w:szCs w:val="22"/>
              </w:rPr>
            </w:pPr>
            <w:r w:rsidRPr="00B72824">
              <w:rPr>
                <w:rFonts w:eastAsiaTheme="minorEastAsia" w:cs="Arial"/>
                <w:color w:val="000000"/>
                <w:sz w:val="24"/>
                <w:szCs w:val="24"/>
              </w:rPr>
              <w:t> </w:t>
            </w:r>
          </w:p>
          <w:p w14:paraId="1671F4D2" w14:textId="77777777" w:rsidR="00B72824" w:rsidRPr="00DD18D0" w:rsidRDefault="00B72824" w:rsidP="00B72824">
            <w:pPr>
              <w:jc w:val="both"/>
              <w:rPr>
                <w:rFonts w:ascii="Calibri" w:eastAsiaTheme="minorEastAsia" w:hAnsi="Calibri"/>
                <w:szCs w:val="22"/>
              </w:rPr>
            </w:pPr>
            <w:r w:rsidRPr="00DD18D0">
              <w:rPr>
                <w:rFonts w:eastAsiaTheme="minorEastAsia" w:cs="Arial"/>
                <w:b/>
                <w:bCs/>
                <w:sz w:val="24"/>
                <w:szCs w:val="24"/>
              </w:rPr>
              <w:t>1626.5.2</w:t>
            </w:r>
            <w:r w:rsidRPr="00DD18D0">
              <w:rPr>
                <w:rFonts w:eastAsiaTheme="minorEastAsia" w:cs="Arial"/>
                <w:sz w:val="24"/>
                <w:szCs w:val="24"/>
              </w:rPr>
              <w:t xml:space="preserve"> Louvers required to be open for life safety purposes such as providing a breathable atmosphere </w:t>
            </w:r>
            <w:r w:rsidR="00DD18D0" w:rsidRPr="00DD18D0">
              <w:rPr>
                <w:rFonts w:eastAsiaTheme="minorEastAsia" w:cs="Arial"/>
                <w:color w:val="FF0000"/>
                <w:sz w:val="24"/>
                <w:szCs w:val="24"/>
                <w:u w:val="single"/>
              </w:rPr>
              <w:t>that are located on the building envelope and are within 30 feet (9144 mm) of gra</w:t>
            </w:r>
            <w:r w:rsidR="00DD18D0" w:rsidRPr="00452E4A">
              <w:rPr>
                <w:rFonts w:eastAsiaTheme="minorEastAsia" w:cs="Arial"/>
                <w:color w:val="FF0000"/>
                <w:sz w:val="24"/>
                <w:szCs w:val="24"/>
                <w:u w:val="single"/>
              </w:rPr>
              <w:t xml:space="preserve">de </w:t>
            </w:r>
            <w:r w:rsidRPr="00DD18D0">
              <w:rPr>
                <w:rFonts w:eastAsiaTheme="minorEastAsia" w:cs="Arial"/>
                <w:sz w:val="24"/>
                <w:szCs w:val="24"/>
              </w:rPr>
              <w:t xml:space="preserve">shall meet the </w:t>
            </w:r>
            <w:r w:rsidR="00DD18D0">
              <w:rPr>
                <w:rFonts w:eastAsiaTheme="minorEastAsia" w:cs="Arial"/>
                <w:color w:val="FF0000"/>
                <w:sz w:val="24"/>
                <w:szCs w:val="24"/>
                <w:u w:val="single"/>
              </w:rPr>
              <w:t xml:space="preserve">impact </w:t>
            </w:r>
            <w:r w:rsidRPr="00DD18D0">
              <w:rPr>
                <w:rFonts w:eastAsiaTheme="minorEastAsia" w:cs="Arial"/>
                <w:sz w:val="24"/>
                <w:szCs w:val="24"/>
              </w:rPr>
              <w:t>requirements of AMCA 540 or </w:t>
            </w:r>
            <w:r w:rsidRPr="00DD18D0">
              <w:rPr>
                <w:rFonts w:eastAsiaTheme="minorEastAsia" w:cs="Arial"/>
                <w:bCs/>
                <w:sz w:val="24"/>
                <w:szCs w:val="24"/>
              </w:rPr>
              <w:t>TAS 201</w:t>
            </w:r>
            <w:r w:rsidR="00DD18D0" w:rsidRPr="00DD18D0">
              <w:rPr>
                <w:rFonts w:eastAsiaTheme="minorEastAsia" w:cs="Arial"/>
                <w:bCs/>
                <w:sz w:val="24"/>
                <w:szCs w:val="24"/>
              </w:rPr>
              <w:t xml:space="preserve"> </w:t>
            </w:r>
            <w:r w:rsidR="00DD18D0" w:rsidRPr="00DD18D0">
              <w:rPr>
                <w:rFonts w:eastAsiaTheme="minorEastAsia" w:cs="Arial"/>
                <w:bCs/>
                <w:color w:val="FF0000"/>
                <w:sz w:val="24"/>
                <w:szCs w:val="24"/>
                <w:u w:val="single"/>
              </w:rPr>
              <w:t>(large missile test)</w:t>
            </w:r>
            <w:r w:rsidRPr="00DD18D0">
              <w:rPr>
                <w:rFonts w:eastAsiaTheme="minorEastAsia" w:cs="Arial"/>
                <w:bCs/>
                <w:sz w:val="24"/>
                <w:szCs w:val="24"/>
              </w:rPr>
              <w:t>.</w:t>
            </w:r>
            <w:r w:rsidRPr="00DD18D0">
              <w:rPr>
                <w:rFonts w:ascii="Calibri" w:eastAsiaTheme="minorEastAsia" w:hAnsi="Calibri"/>
                <w:szCs w:val="22"/>
              </w:rPr>
              <w:t> </w:t>
            </w:r>
          </w:p>
          <w:p w14:paraId="2CC9D9CF" w14:textId="77777777" w:rsidR="00B72824" w:rsidRPr="00DD18D0" w:rsidRDefault="00B72824" w:rsidP="00B72824">
            <w:pPr>
              <w:jc w:val="both"/>
              <w:rPr>
                <w:rFonts w:ascii="Calibri" w:eastAsiaTheme="minorEastAsia" w:hAnsi="Calibri"/>
                <w:szCs w:val="22"/>
              </w:rPr>
            </w:pPr>
            <w:r w:rsidRPr="00DD18D0">
              <w:rPr>
                <w:rFonts w:eastAsiaTheme="minorEastAsia" w:cs="Arial"/>
                <w:b/>
                <w:bCs/>
                <w:sz w:val="24"/>
                <w:szCs w:val="24"/>
              </w:rPr>
              <w:t> </w:t>
            </w:r>
          </w:p>
          <w:p w14:paraId="56B5928B" w14:textId="77777777" w:rsidR="00B72824" w:rsidRPr="00DD18D0" w:rsidRDefault="00B72824" w:rsidP="00B72824">
            <w:pPr>
              <w:jc w:val="both"/>
              <w:rPr>
                <w:rFonts w:ascii="Calibri" w:eastAsiaTheme="minorEastAsia" w:hAnsi="Calibri"/>
                <w:szCs w:val="22"/>
              </w:rPr>
            </w:pPr>
            <w:r w:rsidRPr="00DD18D0">
              <w:rPr>
                <w:rFonts w:eastAsiaTheme="minorEastAsia" w:cs="Arial"/>
                <w:b/>
                <w:bCs/>
                <w:sz w:val="24"/>
                <w:szCs w:val="24"/>
              </w:rPr>
              <w:t>1626.5.3</w:t>
            </w:r>
            <w:r w:rsidRPr="00DD18D0">
              <w:rPr>
                <w:rFonts w:eastAsiaTheme="minorEastAsia" w:cs="Arial"/>
                <w:sz w:val="24"/>
                <w:szCs w:val="24"/>
              </w:rPr>
              <w:t> Open and closed louvers</w:t>
            </w:r>
            <w:r w:rsidR="00DD18D0">
              <w:rPr>
                <w:rFonts w:eastAsiaTheme="minorEastAsia" w:cs="Arial"/>
                <w:sz w:val="24"/>
                <w:szCs w:val="24"/>
              </w:rPr>
              <w:t xml:space="preserve"> </w:t>
            </w:r>
            <w:r w:rsidR="00DD18D0" w:rsidRPr="00DD18D0">
              <w:rPr>
                <w:rFonts w:eastAsiaTheme="minorEastAsia" w:cs="Arial"/>
                <w:color w:val="FF0000"/>
                <w:sz w:val="24"/>
                <w:szCs w:val="24"/>
                <w:u w:val="single"/>
              </w:rPr>
              <w:t>located on the building envelope, regardless of their function or location from grade,</w:t>
            </w:r>
            <w:r w:rsidRPr="00DD18D0">
              <w:rPr>
                <w:rFonts w:eastAsiaTheme="minorEastAsia" w:cs="Arial"/>
                <w:sz w:val="24"/>
                <w:szCs w:val="24"/>
              </w:rPr>
              <w:t xml:space="preserve"> shall also comply with uniform air pressure testing per TAS 202 protocol and </w:t>
            </w:r>
            <w:r w:rsidR="00DD18D0" w:rsidRPr="00DD18D0">
              <w:rPr>
                <w:rFonts w:eastAsiaTheme="minorHAnsi" w:cs="Arial"/>
                <w:color w:val="FF0000"/>
                <w:sz w:val="24"/>
                <w:szCs w:val="24"/>
                <w:u w:val="single"/>
              </w:rPr>
              <w:t>either the</w:t>
            </w:r>
            <w:r w:rsidR="00DD18D0" w:rsidRPr="00DD18D0">
              <w:rPr>
                <w:rFonts w:eastAsiaTheme="minorEastAsia" w:cs="Arial"/>
                <w:sz w:val="24"/>
                <w:szCs w:val="24"/>
              </w:rPr>
              <w:t xml:space="preserve"> </w:t>
            </w:r>
            <w:r w:rsidRPr="00DD18D0">
              <w:rPr>
                <w:rFonts w:eastAsiaTheme="minorEastAsia" w:cs="Arial"/>
                <w:sz w:val="24"/>
                <w:szCs w:val="24"/>
              </w:rPr>
              <w:t>cyclical wind pressure loading per TAS 203 protocol</w:t>
            </w:r>
            <w:r w:rsidR="00DD18D0">
              <w:rPr>
                <w:rFonts w:eastAsiaTheme="minorEastAsia" w:cs="Arial"/>
                <w:sz w:val="24"/>
                <w:szCs w:val="24"/>
              </w:rPr>
              <w:t xml:space="preserve"> </w:t>
            </w:r>
            <w:r w:rsidR="00DD18D0" w:rsidRPr="00DD18D0">
              <w:rPr>
                <w:rFonts w:eastAsiaTheme="minorHAnsi" w:cs="Arial"/>
                <w:color w:val="FF0000"/>
                <w:sz w:val="24"/>
                <w:szCs w:val="24"/>
                <w:u w:val="single"/>
              </w:rPr>
              <w:t>or by complying with both the impact and cyclical pressure testing of AMCA 540</w:t>
            </w:r>
            <w:r w:rsidRPr="00DD18D0">
              <w:rPr>
                <w:rFonts w:eastAsiaTheme="minorEastAsia" w:cs="Arial"/>
                <w:sz w:val="24"/>
                <w:szCs w:val="24"/>
              </w:rPr>
              <w:t>. </w:t>
            </w:r>
            <w:r w:rsidRPr="00DD18D0">
              <w:rPr>
                <w:rFonts w:eastAsiaTheme="minorEastAsia" w:cs="Arial"/>
                <w:strike/>
                <w:color w:val="FF0000"/>
                <w:sz w:val="24"/>
                <w:szCs w:val="24"/>
              </w:rPr>
              <w:t>This test shall be applicable to the construction unit of each louver type and material. A minimum of two test specimens made up of hidden (Architectural joints) and visible mullioned assemblies shall be utilized in verification of all specimen assembly conditions.</w:t>
            </w:r>
          </w:p>
        </w:tc>
      </w:tr>
    </w:tbl>
    <w:p w14:paraId="08ED659A" w14:textId="77777777" w:rsidR="00DD18D0" w:rsidRPr="00DD18D0" w:rsidRDefault="00B72824" w:rsidP="00970FEC">
      <w:pPr>
        <w:rPr>
          <w:rFonts w:ascii="Calibri" w:eastAsiaTheme="minorEastAsia" w:hAnsi="Calibri"/>
          <w:color w:val="FFFFFF"/>
          <w:szCs w:val="22"/>
        </w:rPr>
      </w:pPr>
      <w:r w:rsidRPr="00B72824">
        <w:rPr>
          <w:rFonts w:eastAsiaTheme="minorEastAsia" w:cs="Arial"/>
          <w:color w:val="FFFFFF"/>
          <w:sz w:val="24"/>
          <w:szCs w:val="24"/>
        </w:rPr>
        <w:lastRenderedPageBreak/>
        <w:t> </w:t>
      </w:r>
    </w:p>
    <w:p w14:paraId="165F8529" w14:textId="77777777" w:rsidR="00B813EF" w:rsidRPr="00DD18D0" w:rsidRDefault="00970FEC">
      <w:pPr>
        <w:rPr>
          <w:rFonts w:eastAsiaTheme="minorHAnsi" w:cs="Arial"/>
          <w:szCs w:val="22"/>
        </w:rPr>
      </w:pPr>
      <w:r w:rsidRPr="00DD18D0">
        <w:rPr>
          <w:rFonts w:eastAsiaTheme="minorHAnsi" w:cs="Arial"/>
          <w:szCs w:val="22"/>
        </w:rPr>
        <w:t xml:space="preserve"> </w:t>
      </w:r>
    </w:p>
    <w:sectPr w:rsidR="00B813EF" w:rsidRPr="00DD18D0" w:rsidSect="00DD18D0">
      <w:footerReference w:type="even" r:id="rId8"/>
      <w:footerReference w:type="default" r:id="rId9"/>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E2F16" w14:textId="77777777" w:rsidR="00A41DDC" w:rsidRDefault="00A41DDC" w:rsidP="00A41DDC">
      <w:r>
        <w:separator/>
      </w:r>
    </w:p>
  </w:endnote>
  <w:endnote w:type="continuationSeparator" w:id="0">
    <w:p w14:paraId="00573732" w14:textId="77777777" w:rsidR="00A41DDC" w:rsidRDefault="00A41DDC" w:rsidP="00A4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0A3C" w14:textId="77777777" w:rsidR="00A41DDC" w:rsidRDefault="00A41DDC" w:rsidP="00DF0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35C90" w14:textId="77777777" w:rsidR="00A41DDC" w:rsidRDefault="00A41DDC" w:rsidP="00A41D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E747" w14:textId="77777777" w:rsidR="00A41DDC" w:rsidRDefault="00A41DDC" w:rsidP="00DF0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5590">
      <w:rPr>
        <w:rStyle w:val="PageNumber"/>
        <w:noProof/>
      </w:rPr>
      <w:t>1</w:t>
    </w:r>
    <w:r>
      <w:rPr>
        <w:rStyle w:val="PageNumber"/>
      </w:rPr>
      <w:fldChar w:fldCharType="end"/>
    </w:r>
  </w:p>
  <w:p w14:paraId="6D85651C" w14:textId="77777777" w:rsidR="00A41DDC" w:rsidRDefault="00A41DDC" w:rsidP="00A41DD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442EB" w14:textId="77777777" w:rsidR="00A41DDC" w:rsidRDefault="00A41DDC" w:rsidP="00A41DDC">
      <w:r>
        <w:separator/>
      </w:r>
    </w:p>
  </w:footnote>
  <w:footnote w:type="continuationSeparator" w:id="0">
    <w:p w14:paraId="5DD0382E" w14:textId="77777777" w:rsidR="00A41DDC" w:rsidRDefault="00A41DDC" w:rsidP="00A41D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5C2"/>
    <w:multiLevelType w:val="multilevel"/>
    <w:tmpl w:val="8C3C78EE"/>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8960F7"/>
    <w:multiLevelType w:val="multilevel"/>
    <w:tmpl w:val="70863DF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61E01D2"/>
    <w:multiLevelType w:val="multilevel"/>
    <w:tmpl w:val="F506AE2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EC"/>
    <w:rsid w:val="0019088A"/>
    <w:rsid w:val="00192D2B"/>
    <w:rsid w:val="00452E4A"/>
    <w:rsid w:val="00970FEC"/>
    <w:rsid w:val="00A41DDC"/>
    <w:rsid w:val="00B72824"/>
    <w:rsid w:val="00B813EF"/>
    <w:rsid w:val="00DD18D0"/>
    <w:rsid w:val="00FD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56C8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EC"/>
    <w:rPr>
      <w:rFonts w:ascii="Arial" w:eastAsia="Calibri"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2824"/>
  </w:style>
  <w:style w:type="paragraph" w:styleId="Footer">
    <w:name w:val="footer"/>
    <w:basedOn w:val="Normal"/>
    <w:link w:val="FooterChar"/>
    <w:uiPriority w:val="99"/>
    <w:unhideWhenUsed/>
    <w:rsid w:val="00A41DDC"/>
    <w:pPr>
      <w:tabs>
        <w:tab w:val="center" w:pos="4320"/>
        <w:tab w:val="right" w:pos="8640"/>
      </w:tabs>
    </w:pPr>
  </w:style>
  <w:style w:type="character" w:customStyle="1" w:styleId="FooterChar">
    <w:name w:val="Footer Char"/>
    <w:basedOn w:val="DefaultParagraphFont"/>
    <w:link w:val="Footer"/>
    <w:uiPriority w:val="99"/>
    <w:rsid w:val="00A41DDC"/>
    <w:rPr>
      <w:rFonts w:ascii="Arial" w:eastAsia="Calibri" w:hAnsi="Arial" w:cs="Times New Roman"/>
      <w:sz w:val="22"/>
      <w:szCs w:val="20"/>
    </w:rPr>
  </w:style>
  <w:style w:type="character" w:styleId="PageNumber">
    <w:name w:val="page number"/>
    <w:basedOn w:val="DefaultParagraphFont"/>
    <w:uiPriority w:val="99"/>
    <w:semiHidden/>
    <w:unhideWhenUsed/>
    <w:rsid w:val="00A41D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EC"/>
    <w:rPr>
      <w:rFonts w:ascii="Arial" w:eastAsia="Calibri"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2824"/>
  </w:style>
  <w:style w:type="paragraph" w:styleId="Footer">
    <w:name w:val="footer"/>
    <w:basedOn w:val="Normal"/>
    <w:link w:val="FooterChar"/>
    <w:uiPriority w:val="99"/>
    <w:unhideWhenUsed/>
    <w:rsid w:val="00A41DDC"/>
    <w:pPr>
      <w:tabs>
        <w:tab w:val="center" w:pos="4320"/>
        <w:tab w:val="right" w:pos="8640"/>
      </w:tabs>
    </w:pPr>
  </w:style>
  <w:style w:type="character" w:customStyle="1" w:styleId="FooterChar">
    <w:name w:val="Footer Char"/>
    <w:basedOn w:val="DefaultParagraphFont"/>
    <w:link w:val="Footer"/>
    <w:uiPriority w:val="99"/>
    <w:rsid w:val="00A41DDC"/>
    <w:rPr>
      <w:rFonts w:ascii="Arial" w:eastAsia="Calibri" w:hAnsi="Arial" w:cs="Times New Roman"/>
      <w:sz w:val="22"/>
      <w:szCs w:val="20"/>
    </w:rPr>
  </w:style>
  <w:style w:type="character" w:styleId="PageNumber">
    <w:name w:val="page number"/>
    <w:basedOn w:val="DefaultParagraphFont"/>
    <w:uiPriority w:val="99"/>
    <w:semiHidden/>
    <w:unhideWhenUsed/>
    <w:rsid w:val="00A4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35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517</Words>
  <Characters>2947</Characters>
  <Application>Microsoft Macintosh Word</Application>
  <DocSecurity>0</DocSecurity>
  <Lines>24</Lines>
  <Paragraphs>6</Paragraphs>
  <ScaleCrop>false</ScaleCrop>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Hickman</dc:creator>
  <cp:keywords/>
  <dc:description/>
  <cp:lastModifiedBy>Amanda Hickman</cp:lastModifiedBy>
  <cp:revision>4</cp:revision>
  <dcterms:created xsi:type="dcterms:W3CDTF">2020-01-23T20:02:00Z</dcterms:created>
  <dcterms:modified xsi:type="dcterms:W3CDTF">2020-01-23T20:14:00Z</dcterms:modified>
</cp:coreProperties>
</file>